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00C6A" w14:textId="4A7173BC" w:rsidR="00B11496" w:rsidRPr="00A34D28" w:rsidRDefault="00B11496" w:rsidP="00B11496">
      <w:pPr>
        <w:pStyle w:val="CRCoverPage"/>
        <w:tabs>
          <w:tab w:val="left" w:pos="1980"/>
        </w:tabs>
        <w:rPr>
          <w:rFonts w:ascii="Times New Roman" w:eastAsia="SimSun" w:hAnsi="Times New Roman"/>
          <w:b/>
          <w:sz w:val="24"/>
          <w:highlight w:val="yellow"/>
          <w:lang w:val="en-US" w:eastAsia="zh-CN"/>
        </w:rPr>
      </w:pPr>
      <w:r w:rsidRPr="001375CD">
        <w:rPr>
          <w:rFonts w:ascii="Times New Roman" w:eastAsia="SimSun" w:hAnsi="Times New Roman"/>
          <w:b/>
          <w:sz w:val="24"/>
          <w:lang w:val="en-US" w:eastAsia="zh-CN"/>
        </w:rPr>
        <w:t xml:space="preserve">3GPP TSG RAN </w:t>
      </w:r>
      <w:r w:rsidRPr="00D836C2">
        <w:rPr>
          <w:rFonts w:ascii="Times New Roman" w:eastAsia="SimSun" w:hAnsi="Times New Roman"/>
          <w:b/>
          <w:sz w:val="24"/>
          <w:lang w:val="en-US" w:eastAsia="zh-CN"/>
        </w:rPr>
        <w:t xml:space="preserve">WG1 Meeting #88bis                 </w:t>
      </w:r>
      <w:r w:rsidRPr="00D836C2">
        <w:rPr>
          <w:rFonts w:ascii="Times New Roman" w:eastAsia="SimSun" w:hAnsi="Times New Roman"/>
          <w:b/>
          <w:sz w:val="24"/>
          <w:lang w:val="en-US" w:eastAsia="zh-CN"/>
        </w:rPr>
        <w:tab/>
      </w:r>
      <w:r w:rsidRPr="00D836C2">
        <w:rPr>
          <w:rFonts w:ascii="Times New Roman" w:eastAsia="SimSun" w:hAnsi="Times New Roman"/>
          <w:b/>
          <w:sz w:val="24"/>
          <w:lang w:val="en-US" w:eastAsia="zh-CN"/>
        </w:rPr>
        <w:tab/>
      </w:r>
      <w:r w:rsidRPr="00D836C2">
        <w:rPr>
          <w:rFonts w:ascii="Times New Roman" w:eastAsia="SimSun" w:hAnsi="Times New Roman"/>
          <w:b/>
          <w:sz w:val="24"/>
          <w:lang w:val="en-US" w:eastAsia="zh-CN"/>
        </w:rPr>
        <w:tab/>
        <w:t xml:space="preserve">     </w:t>
      </w:r>
      <w:r w:rsidR="008C704D">
        <w:rPr>
          <w:rFonts w:ascii="Times New Roman" w:eastAsia="SimSun" w:hAnsi="Times New Roman"/>
          <w:b/>
          <w:sz w:val="24"/>
          <w:lang w:val="en-US" w:eastAsia="zh-CN"/>
        </w:rPr>
        <w:t xml:space="preserve">  </w:t>
      </w:r>
      <w:r w:rsidRPr="00D836C2">
        <w:rPr>
          <w:rFonts w:ascii="Times New Roman" w:eastAsia="SimSun" w:hAnsi="Times New Roman"/>
          <w:b/>
          <w:sz w:val="24"/>
          <w:lang w:val="en-US" w:eastAsia="zh-CN"/>
        </w:rPr>
        <w:t xml:space="preserve"> </w:t>
      </w:r>
      <w:r w:rsidR="008C704D" w:rsidRPr="008C704D">
        <w:rPr>
          <w:rFonts w:ascii="Times New Roman" w:eastAsia="SimSun" w:hAnsi="Times New Roman"/>
          <w:b/>
          <w:sz w:val="24"/>
          <w:lang w:val="en-US" w:eastAsia="zh-CN"/>
        </w:rPr>
        <w:t>R1-1705524</w:t>
      </w:r>
    </w:p>
    <w:p w14:paraId="73B90816" w14:textId="77777777" w:rsidR="00B11496" w:rsidRPr="00D836C2" w:rsidRDefault="00B11496" w:rsidP="00B11496">
      <w:pPr>
        <w:pStyle w:val="CRCoverPage"/>
        <w:tabs>
          <w:tab w:val="left" w:pos="1980"/>
        </w:tabs>
        <w:jc w:val="both"/>
        <w:rPr>
          <w:rFonts w:ascii="Times New Roman" w:eastAsia="SimSun" w:hAnsi="Times New Roman"/>
          <w:b/>
          <w:sz w:val="24"/>
          <w:lang w:val="en-US" w:eastAsia="zh-CN"/>
        </w:rPr>
      </w:pPr>
      <w:r w:rsidRPr="00D836C2">
        <w:rPr>
          <w:rFonts w:ascii="Times New Roman" w:eastAsia="SimSun" w:hAnsi="Times New Roman"/>
          <w:b/>
          <w:sz w:val="24"/>
          <w:lang w:val="en-US" w:eastAsia="zh-CN"/>
        </w:rPr>
        <w:t>Spokane, USA 3</w:t>
      </w:r>
      <w:r w:rsidRPr="00D836C2">
        <w:rPr>
          <w:rFonts w:ascii="Times New Roman" w:eastAsia="SimSun" w:hAnsi="Times New Roman"/>
          <w:b/>
          <w:sz w:val="24"/>
          <w:vertAlign w:val="superscript"/>
          <w:lang w:val="en-US" w:eastAsia="zh-CN"/>
        </w:rPr>
        <w:t>rd</w:t>
      </w:r>
      <w:r w:rsidRPr="00D836C2">
        <w:rPr>
          <w:rFonts w:ascii="Times New Roman" w:eastAsia="SimSun" w:hAnsi="Times New Roman"/>
          <w:b/>
          <w:sz w:val="24"/>
          <w:lang w:val="en-US" w:eastAsia="zh-CN"/>
        </w:rPr>
        <w:t xml:space="preserve"> - 7</w:t>
      </w:r>
      <w:r w:rsidRPr="00D836C2">
        <w:rPr>
          <w:rFonts w:ascii="Times New Roman" w:eastAsia="SimSun" w:hAnsi="Times New Roman"/>
          <w:b/>
          <w:sz w:val="24"/>
          <w:vertAlign w:val="superscript"/>
          <w:lang w:val="en-US" w:eastAsia="zh-CN"/>
        </w:rPr>
        <w:t>th</w:t>
      </w:r>
      <w:r w:rsidRPr="00D836C2">
        <w:rPr>
          <w:rFonts w:ascii="Times New Roman" w:eastAsia="SimSun" w:hAnsi="Times New Roman"/>
          <w:b/>
          <w:sz w:val="24"/>
          <w:lang w:val="en-US" w:eastAsia="zh-CN"/>
        </w:rPr>
        <w:t xml:space="preserve"> April 2017</w:t>
      </w:r>
    </w:p>
    <w:p w14:paraId="2F2A2F5F" w14:textId="77777777" w:rsidR="002C3BDD" w:rsidRPr="00614B60" w:rsidRDefault="002C3BDD" w:rsidP="00FC6469">
      <w:pPr>
        <w:pStyle w:val="CRCoverPage"/>
        <w:tabs>
          <w:tab w:val="left" w:pos="1980"/>
        </w:tabs>
        <w:jc w:val="both"/>
        <w:rPr>
          <w:rFonts w:ascii="Times New Roman" w:hAnsi="Times New Roman"/>
          <w:b/>
          <w:bCs/>
          <w:sz w:val="24"/>
          <w:lang w:val="en-US"/>
        </w:rPr>
      </w:pPr>
    </w:p>
    <w:p w14:paraId="6FA141D4" w14:textId="28DAD624" w:rsidR="00FA20F7" w:rsidRPr="00614B60" w:rsidRDefault="00FA20F7" w:rsidP="00FC6469">
      <w:pPr>
        <w:pStyle w:val="CRCoverPage"/>
        <w:tabs>
          <w:tab w:val="left" w:pos="1980"/>
        </w:tabs>
        <w:jc w:val="both"/>
        <w:rPr>
          <w:rFonts w:ascii="Times New Roman" w:hAnsi="Times New Roman"/>
          <w:b/>
          <w:bCs/>
          <w:sz w:val="24"/>
          <w:lang w:val="en-US" w:eastAsia="ja-JP"/>
        </w:rPr>
      </w:pPr>
      <w:r w:rsidRPr="00614B60">
        <w:rPr>
          <w:rFonts w:ascii="Times New Roman" w:hAnsi="Times New Roman"/>
          <w:b/>
          <w:bCs/>
          <w:sz w:val="24"/>
          <w:lang w:val="en-US"/>
        </w:rPr>
        <w:t>Agenda Item:</w:t>
      </w:r>
      <w:r w:rsidRPr="00614B60">
        <w:rPr>
          <w:rFonts w:ascii="Times New Roman" w:hAnsi="Times New Roman"/>
          <w:b/>
          <w:bCs/>
          <w:sz w:val="24"/>
          <w:lang w:val="en-US"/>
        </w:rPr>
        <w:tab/>
      </w:r>
      <w:r w:rsidR="002A7980" w:rsidRPr="00614B60">
        <w:rPr>
          <w:rFonts w:ascii="Times New Roman" w:hAnsi="Times New Roman"/>
          <w:b/>
          <w:bCs/>
          <w:sz w:val="24"/>
          <w:lang w:val="en-US"/>
        </w:rPr>
        <w:t>8</w:t>
      </w:r>
      <w:r w:rsidR="00E246F8" w:rsidRPr="00614B60">
        <w:rPr>
          <w:rFonts w:ascii="Times New Roman" w:hAnsi="Times New Roman"/>
          <w:b/>
          <w:bCs/>
          <w:sz w:val="24"/>
          <w:lang w:val="en-US"/>
        </w:rPr>
        <w:t>.</w:t>
      </w:r>
      <w:r w:rsidR="005D69BE" w:rsidRPr="00614B60">
        <w:rPr>
          <w:rFonts w:ascii="Times New Roman" w:hAnsi="Times New Roman"/>
          <w:b/>
          <w:bCs/>
          <w:sz w:val="24"/>
          <w:lang w:val="en-US"/>
        </w:rPr>
        <w:t>1.</w:t>
      </w:r>
      <w:r w:rsidR="00B11496">
        <w:rPr>
          <w:rFonts w:ascii="Times New Roman" w:hAnsi="Times New Roman"/>
          <w:b/>
          <w:bCs/>
          <w:sz w:val="24"/>
          <w:lang w:val="en-US"/>
        </w:rPr>
        <w:t>3.3.5</w:t>
      </w:r>
    </w:p>
    <w:p w14:paraId="186753AF" w14:textId="77777777" w:rsidR="00FA20F7" w:rsidRPr="00614B60" w:rsidRDefault="0092027E" w:rsidP="00FA20F7">
      <w:pPr>
        <w:tabs>
          <w:tab w:val="left" w:pos="1985"/>
        </w:tabs>
        <w:rPr>
          <w:b/>
          <w:bCs/>
          <w:sz w:val="24"/>
          <w:lang w:val="en-US"/>
        </w:rPr>
      </w:pPr>
      <w:r w:rsidRPr="00614B60">
        <w:rPr>
          <w:b/>
          <w:bCs/>
          <w:sz w:val="24"/>
          <w:lang w:val="en-US"/>
        </w:rPr>
        <w:t>Source:</w:t>
      </w:r>
      <w:r w:rsidRPr="00614B60">
        <w:rPr>
          <w:b/>
          <w:bCs/>
          <w:sz w:val="24"/>
          <w:lang w:val="en-US"/>
        </w:rPr>
        <w:tab/>
        <w:t>InterDigital</w:t>
      </w:r>
      <w:r w:rsidR="00E17A3B" w:rsidRPr="00614B60">
        <w:rPr>
          <w:b/>
          <w:bCs/>
          <w:sz w:val="24"/>
          <w:lang w:val="en-US"/>
        </w:rPr>
        <w:t xml:space="preserve"> Communications</w:t>
      </w:r>
    </w:p>
    <w:p w14:paraId="4F02292E" w14:textId="4B4E2A98" w:rsidR="00FA20F7" w:rsidRPr="00614B60" w:rsidRDefault="00FA20F7" w:rsidP="00FA20F7">
      <w:pPr>
        <w:ind w:left="1985" w:hanging="1985"/>
        <w:rPr>
          <w:b/>
          <w:bCs/>
          <w:lang w:val="en-US"/>
        </w:rPr>
      </w:pPr>
      <w:r w:rsidRPr="00614B60">
        <w:rPr>
          <w:b/>
          <w:bCs/>
          <w:sz w:val="24"/>
          <w:lang w:val="en-US"/>
        </w:rPr>
        <w:t>Title:</w:t>
      </w:r>
      <w:r w:rsidRPr="00614B60">
        <w:rPr>
          <w:b/>
          <w:bCs/>
          <w:sz w:val="24"/>
          <w:lang w:val="en-US"/>
        </w:rPr>
        <w:tab/>
      </w:r>
      <w:r w:rsidR="00724CD6" w:rsidRPr="00614B60">
        <w:rPr>
          <w:b/>
          <w:bCs/>
          <w:sz w:val="24"/>
          <w:lang w:val="en-US"/>
        </w:rPr>
        <w:t>On eMBB/URLLC multiplexing for TDD</w:t>
      </w:r>
    </w:p>
    <w:p w14:paraId="20F2A3ED" w14:textId="48C0346C" w:rsidR="00FA20F7" w:rsidRPr="00614B60" w:rsidRDefault="00A51E32" w:rsidP="00FA20F7">
      <w:pPr>
        <w:ind w:left="1985" w:hanging="1985"/>
        <w:rPr>
          <w:b/>
          <w:bCs/>
          <w:sz w:val="24"/>
          <w:lang w:val="en-US"/>
        </w:rPr>
      </w:pPr>
      <w:r w:rsidRPr="00614B60">
        <w:rPr>
          <w:b/>
          <w:bCs/>
          <w:sz w:val="24"/>
          <w:lang w:val="en-US"/>
        </w:rPr>
        <w:t>Document for:</w:t>
      </w:r>
      <w:r w:rsidRPr="00614B60">
        <w:rPr>
          <w:b/>
          <w:bCs/>
          <w:sz w:val="24"/>
          <w:lang w:val="en-US"/>
        </w:rPr>
        <w:tab/>
        <w:t>Discussion</w:t>
      </w:r>
      <w:r w:rsidR="00CD15BB" w:rsidRPr="00614B60">
        <w:rPr>
          <w:b/>
          <w:bCs/>
          <w:sz w:val="24"/>
          <w:lang w:val="en-US"/>
        </w:rPr>
        <w:t xml:space="preserve"> and Decision</w:t>
      </w:r>
    </w:p>
    <w:p w14:paraId="45A92109" w14:textId="77777777" w:rsidR="00261A3A" w:rsidRPr="00614B60" w:rsidRDefault="00A35469" w:rsidP="00C34D28">
      <w:pPr>
        <w:pStyle w:val="Heading1"/>
        <w:rPr>
          <w:rFonts w:ascii="Times New Roman" w:hAnsi="Times New Roman"/>
          <w:b/>
          <w:sz w:val="32"/>
          <w:szCs w:val="32"/>
        </w:rPr>
      </w:pPr>
      <w:r w:rsidRPr="00614B60">
        <w:rPr>
          <w:rFonts w:ascii="Times New Roman" w:hAnsi="Times New Roman"/>
          <w:b/>
          <w:sz w:val="32"/>
          <w:szCs w:val="32"/>
        </w:rPr>
        <w:t>Introduction</w:t>
      </w:r>
    </w:p>
    <w:p w14:paraId="1ACB443A" w14:textId="77777777" w:rsidR="001F5579" w:rsidRDefault="001F5579" w:rsidP="001F5579">
      <w:pPr>
        <w:rPr>
          <w:szCs w:val="22"/>
        </w:rPr>
      </w:pPr>
      <w:r>
        <w:rPr>
          <w:rFonts w:eastAsia="MS Mincho"/>
          <w:lang w:eastAsia="ja-JP"/>
        </w:rPr>
        <w:t>In RAN1#88 Meeting [1], it was agreed that:</w:t>
      </w:r>
    </w:p>
    <w:p w14:paraId="0305255D" w14:textId="77777777" w:rsidR="001F5579" w:rsidRPr="00BE1A97" w:rsidRDefault="001F5579" w:rsidP="001F5579">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of URLLC transmission overlapping the resources scheduled for an eMBB UE in downlink can be dynamically signaled to the eMBB UE to facilitate demodulation and decoding</w:t>
      </w:r>
    </w:p>
    <w:p w14:paraId="77770E6A" w14:textId="77777777" w:rsidR="001F5579" w:rsidRPr="00BE1A97" w:rsidRDefault="001F5579" w:rsidP="001F5579">
      <w:pPr>
        <w:numPr>
          <w:ilvl w:val="1"/>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FFS details</w:t>
      </w:r>
    </w:p>
    <w:p w14:paraId="2D70EA1A" w14:textId="77777777" w:rsidR="001F5579" w:rsidRDefault="001F5579" w:rsidP="001F5579">
      <w:pPr>
        <w:overflowPunct/>
        <w:autoSpaceDE/>
        <w:autoSpaceDN/>
        <w:adjustRightInd/>
        <w:spacing w:after="0"/>
        <w:jc w:val="left"/>
        <w:textAlignment w:val="auto"/>
        <w:rPr>
          <w:rFonts w:eastAsia="MS Mincho"/>
          <w:lang w:val="en-US" w:eastAsia="ja-JP"/>
        </w:rPr>
      </w:pPr>
      <w:r>
        <w:rPr>
          <w:rFonts w:eastAsia="MS Mincho"/>
          <w:lang w:val="en-US" w:eastAsia="ja-JP"/>
        </w:rPr>
        <w:t>and that:</w:t>
      </w:r>
    </w:p>
    <w:p w14:paraId="5FD1C015" w14:textId="77777777" w:rsidR="001F5579" w:rsidRPr="00BE1A97" w:rsidRDefault="001F5579" w:rsidP="001F5579">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2419B809" w14:textId="44543A1F" w:rsidR="00E9311A" w:rsidRPr="00BE1A97" w:rsidRDefault="001F5579" w:rsidP="004E1513">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The indication may be used to increase the likelihood of successful demodulation and decoding of the transport block based on the pre-empted transmission and/or subsequent (re)-transmissions of the same TB</w:t>
      </w:r>
    </w:p>
    <w:p w14:paraId="6E468F00" w14:textId="77777777" w:rsidR="001F5579" w:rsidRPr="001F5579" w:rsidRDefault="001F5579" w:rsidP="001F5579">
      <w:pPr>
        <w:overflowPunct/>
        <w:autoSpaceDE/>
        <w:autoSpaceDN/>
        <w:adjustRightInd/>
        <w:spacing w:after="0"/>
        <w:ind w:left="720"/>
        <w:jc w:val="left"/>
        <w:textAlignment w:val="auto"/>
        <w:rPr>
          <w:rFonts w:eastAsia="MS Mincho"/>
          <w:lang w:val="en-US" w:eastAsia="ja-JP"/>
        </w:rPr>
      </w:pPr>
    </w:p>
    <w:p w14:paraId="36694356" w14:textId="03D9B31E" w:rsidR="005A08A7" w:rsidRPr="0029631B" w:rsidRDefault="00E9311A" w:rsidP="004E1513">
      <w:pPr>
        <w:rPr>
          <w:szCs w:val="22"/>
        </w:rPr>
      </w:pPr>
      <w:r w:rsidRPr="0029631B">
        <w:rPr>
          <w:rFonts w:eastAsia="MS Mincho"/>
          <w:szCs w:val="22"/>
          <w:lang w:val="en-US" w:eastAsia="ja-JP"/>
        </w:rPr>
        <w:t xml:space="preserve">In </w:t>
      </w:r>
      <w:r w:rsidRPr="0029631B">
        <w:rPr>
          <w:szCs w:val="22"/>
        </w:rPr>
        <w:t>this contribution, we provide our views on dynamic resource sharing between URLLC and eMBB data in the DL and UL when the transmissions from URLLC overlap with resources of an ongoing/scheduled transmission</w:t>
      </w:r>
      <w:r w:rsidR="00EB5BE6" w:rsidRPr="0029631B">
        <w:rPr>
          <w:szCs w:val="22"/>
        </w:rPr>
        <w:t xml:space="preserve"> for</w:t>
      </w:r>
      <w:r w:rsidRPr="0029631B">
        <w:rPr>
          <w:szCs w:val="22"/>
        </w:rPr>
        <w:t xml:space="preserve"> </w:t>
      </w:r>
      <w:r w:rsidR="00F27D1D">
        <w:rPr>
          <w:szCs w:val="22"/>
        </w:rPr>
        <w:t>eMBB in the TDD mode</w:t>
      </w:r>
      <w:r w:rsidR="00EB5BE6" w:rsidRPr="0029631B">
        <w:rPr>
          <w:szCs w:val="22"/>
        </w:rPr>
        <w:t>.</w:t>
      </w:r>
    </w:p>
    <w:p w14:paraId="12579F8C" w14:textId="77777777" w:rsidR="00FA007C" w:rsidRPr="00614B60" w:rsidRDefault="00FA007C" w:rsidP="004E1513">
      <w:pPr>
        <w:rPr>
          <w:sz w:val="20"/>
        </w:rPr>
      </w:pPr>
    </w:p>
    <w:p w14:paraId="411E7BBD" w14:textId="2AF7A401" w:rsidR="00085A01" w:rsidRPr="00E9311A" w:rsidRDefault="00E9311A" w:rsidP="00E9311A">
      <w:pPr>
        <w:pStyle w:val="Heading1"/>
        <w:rPr>
          <w:rFonts w:ascii="Times New Roman" w:hAnsi="Times New Roman"/>
          <w:b/>
          <w:sz w:val="32"/>
          <w:szCs w:val="32"/>
        </w:rPr>
      </w:pPr>
      <w:r w:rsidRPr="00E9311A">
        <w:rPr>
          <w:rFonts w:ascii="Times New Roman" w:hAnsi="Times New Roman"/>
          <w:b/>
          <w:sz w:val="32"/>
          <w:szCs w:val="32"/>
        </w:rPr>
        <w:t>Dyn</w:t>
      </w:r>
      <w:r>
        <w:rPr>
          <w:rFonts w:ascii="Times New Roman" w:hAnsi="Times New Roman"/>
          <w:b/>
          <w:sz w:val="32"/>
          <w:szCs w:val="32"/>
        </w:rPr>
        <w:t>amic TDD eMBB/URLLC multiplexing</w:t>
      </w:r>
      <w:r w:rsidR="004555E3" w:rsidRPr="00E9311A">
        <w:rPr>
          <w:rFonts w:ascii="Times New Roman" w:hAnsi="Times New Roman"/>
          <w:b/>
          <w:sz w:val="32"/>
          <w:szCs w:val="32"/>
        </w:rPr>
        <w:t xml:space="preserve"> </w:t>
      </w:r>
    </w:p>
    <w:p w14:paraId="49963958" w14:textId="725BCC9D" w:rsidR="00BF7DC0" w:rsidRPr="0029631B" w:rsidRDefault="00BF7DC0" w:rsidP="00BF7DC0">
      <w:pPr>
        <w:rPr>
          <w:szCs w:val="22"/>
          <w:lang w:val="en-US"/>
        </w:rPr>
      </w:pPr>
      <w:r w:rsidRPr="0029631B">
        <w:rPr>
          <w:szCs w:val="22"/>
          <w:lang w:val="en-US"/>
        </w:rPr>
        <w:t xml:space="preserve">TDD is an important operation mode for the eMBB use case. During the transmission of eMBB traffic, URLLC traffic may arrive. If the URLLC traffic is sporadic, an efficient way to achieve high spectral efficiency while minimizing the latency is preemptive transmission of URLLC traffic over eMBB transmission. The challenge is that the TDD imposes a strong constraint on the latency that is achievable if the TDD duplexing structure is strictly followed. This is shown in </w:t>
      </w:r>
      <w:r w:rsidRPr="0029631B">
        <w:rPr>
          <w:szCs w:val="22"/>
          <w:lang w:val="en-US"/>
        </w:rPr>
        <w:fldChar w:fldCharType="begin"/>
      </w:r>
      <w:r w:rsidRPr="0029631B">
        <w:rPr>
          <w:szCs w:val="22"/>
          <w:lang w:val="en-US"/>
        </w:rPr>
        <w:instrText xml:space="preserve"> REF _Ref470728806 \h  \* MERGEFORMAT </w:instrText>
      </w:r>
      <w:r w:rsidRPr="0029631B">
        <w:rPr>
          <w:szCs w:val="22"/>
          <w:lang w:val="en-US"/>
        </w:rPr>
      </w:r>
      <w:r w:rsidRPr="0029631B">
        <w:rPr>
          <w:szCs w:val="22"/>
          <w:lang w:val="en-US"/>
        </w:rPr>
        <w:fldChar w:fldCharType="separate"/>
      </w:r>
      <w:r w:rsidR="00EB5BE6" w:rsidRPr="0029631B">
        <w:rPr>
          <w:szCs w:val="22"/>
        </w:rPr>
        <w:t xml:space="preserve">Figure </w:t>
      </w:r>
      <w:r w:rsidR="00EB5BE6" w:rsidRPr="0029631B">
        <w:rPr>
          <w:noProof/>
          <w:szCs w:val="22"/>
        </w:rPr>
        <w:t>1</w:t>
      </w:r>
      <w:r w:rsidRPr="0029631B">
        <w:rPr>
          <w:szCs w:val="22"/>
          <w:lang w:val="en-US"/>
        </w:rPr>
        <w:fldChar w:fldCharType="end"/>
      </w:r>
      <w:r w:rsidR="009A593C" w:rsidRPr="0029631B">
        <w:rPr>
          <w:szCs w:val="22"/>
          <w:lang w:val="en-US"/>
        </w:rPr>
        <w:t xml:space="preserve"> for URLLC downlink traffic</w:t>
      </w:r>
      <w:r w:rsidRPr="0029631B">
        <w:rPr>
          <w:szCs w:val="22"/>
          <w:lang w:val="en-US"/>
        </w:rPr>
        <w:t xml:space="preserve">. URLLC traffic arrives at the gNB for service. However, the current time slot (Slot 2) is designated as Uplink (UL). The next Downlink (DL) time slot is Slot 4. If the gNB starts transmitting URLLC traffic in Slot 4, the delay T1 will be more than 1 time slot, which may not satisfy the latency requirement for URLLC. </w:t>
      </w:r>
    </w:p>
    <w:p w14:paraId="2322D391" w14:textId="0CE6D49C" w:rsidR="00BF7DC0" w:rsidRPr="0029631B" w:rsidRDefault="009A593C" w:rsidP="00BF7DC0">
      <w:pPr>
        <w:rPr>
          <w:szCs w:val="22"/>
          <w:lang w:val="en-US"/>
        </w:rPr>
      </w:pPr>
      <w:r w:rsidRPr="0029631B">
        <w:rPr>
          <w:szCs w:val="22"/>
          <w:lang w:val="en-US"/>
        </w:rPr>
        <w:t>To reduce the latency</w:t>
      </w:r>
      <w:r w:rsidR="00BF7DC0" w:rsidRPr="0029631B">
        <w:rPr>
          <w:szCs w:val="22"/>
          <w:lang w:val="en-US"/>
        </w:rPr>
        <w:t xml:space="preserve">, the gNB may preemptively switch the duplexing direction to accommodate the URLLC traffic at the expense of disrupting the scheduled eMBB transmission in a controlled </w:t>
      </w:r>
      <w:r w:rsidRPr="0029631B">
        <w:rPr>
          <w:szCs w:val="22"/>
          <w:lang w:val="en-US"/>
        </w:rPr>
        <w:t>manner</w:t>
      </w:r>
      <w:r w:rsidR="00BF7DC0" w:rsidRPr="0029631B">
        <w:rPr>
          <w:szCs w:val="22"/>
          <w:lang w:val="en-US"/>
        </w:rPr>
        <w:t xml:space="preserve">. Specifically, the gNB may change the duplexing direction </w:t>
      </w:r>
      <w:r w:rsidRPr="0029631B">
        <w:rPr>
          <w:szCs w:val="22"/>
          <w:lang w:val="en-US"/>
        </w:rPr>
        <w:t xml:space="preserve">within </w:t>
      </w:r>
      <w:r w:rsidR="00BF7DC0" w:rsidRPr="0029631B">
        <w:rPr>
          <w:szCs w:val="22"/>
          <w:lang w:val="en-US"/>
        </w:rPr>
        <w:t>Slot 2 from UL to DL, transmit the URLLC traffic in the DL and change back. This is shown in the lower part of Figure 1. The latency T</w:t>
      </w:r>
      <w:r w:rsidR="00BF7DC0" w:rsidRPr="0029631B">
        <w:rPr>
          <w:szCs w:val="22"/>
          <w:vertAlign w:val="subscript"/>
          <w:lang w:val="en-US"/>
        </w:rPr>
        <w:t>2</w:t>
      </w:r>
      <w:r w:rsidR="00BF7DC0" w:rsidRPr="0029631B">
        <w:rPr>
          <w:szCs w:val="22"/>
          <w:lang w:val="en-US"/>
        </w:rPr>
        <w:t xml:space="preserve"> is clearly much lower than T</w:t>
      </w:r>
      <w:r w:rsidR="00BF7DC0" w:rsidRPr="0029631B">
        <w:rPr>
          <w:szCs w:val="22"/>
          <w:vertAlign w:val="subscript"/>
          <w:lang w:val="en-US"/>
        </w:rPr>
        <w:t>1</w:t>
      </w:r>
      <w:r w:rsidR="00BF7DC0" w:rsidRPr="0029631B">
        <w:rPr>
          <w:szCs w:val="22"/>
          <w:lang w:val="en-US"/>
        </w:rPr>
        <w:t xml:space="preserve">. </w:t>
      </w:r>
    </w:p>
    <w:p w14:paraId="0A1B190D" w14:textId="77777777" w:rsidR="00BF7DC0" w:rsidRPr="0029631B" w:rsidRDefault="00BF7DC0" w:rsidP="00BF7DC0">
      <w:pPr>
        <w:rPr>
          <w:szCs w:val="22"/>
        </w:rPr>
      </w:pPr>
    </w:p>
    <w:p w14:paraId="4C9CC41D" w14:textId="77777777" w:rsidR="00BF7DC0" w:rsidRPr="0029631B" w:rsidRDefault="00BF7DC0" w:rsidP="00BF7DC0">
      <w:pPr>
        <w:keepNext/>
        <w:jc w:val="center"/>
        <w:rPr>
          <w:szCs w:val="22"/>
        </w:rPr>
      </w:pPr>
      <w:r w:rsidRPr="0029631B">
        <w:rPr>
          <w:szCs w:val="22"/>
        </w:rPr>
        <w:object w:dxaOrig="6433" w:dyaOrig="5007" w14:anchorId="35B7D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5pt;height:227.75pt" o:ole="">
            <v:imagedata r:id="rId12" o:title=""/>
          </v:shape>
          <o:OLEObject Type="Embed" ProgID="Visio.Drawing.15" ShapeID="_x0000_i1025" DrawAspect="Content" ObjectID="_1551883287" r:id="rId13"/>
        </w:object>
      </w:r>
    </w:p>
    <w:p w14:paraId="351C75CF" w14:textId="062B7486" w:rsidR="00BF7DC0" w:rsidRPr="0029631B" w:rsidRDefault="00BF7DC0" w:rsidP="00BF7DC0">
      <w:pPr>
        <w:pStyle w:val="Caption"/>
        <w:rPr>
          <w:szCs w:val="22"/>
        </w:rPr>
      </w:pPr>
      <w:bookmarkStart w:id="0" w:name="_Ref470728806"/>
      <w:bookmarkStart w:id="1" w:name="_Toc470732845"/>
      <w:r w:rsidRPr="0029631B">
        <w:rPr>
          <w:szCs w:val="22"/>
        </w:rPr>
        <w:t xml:space="preserve">Figure </w:t>
      </w:r>
      <w:r w:rsidRPr="0029631B">
        <w:rPr>
          <w:szCs w:val="22"/>
        </w:rPr>
        <w:fldChar w:fldCharType="begin"/>
      </w:r>
      <w:r w:rsidRPr="0029631B">
        <w:rPr>
          <w:szCs w:val="22"/>
        </w:rPr>
        <w:instrText xml:space="preserve"> SEQ Figure \* ARABIC </w:instrText>
      </w:r>
      <w:r w:rsidRPr="0029631B">
        <w:rPr>
          <w:szCs w:val="22"/>
        </w:rPr>
        <w:fldChar w:fldCharType="separate"/>
      </w:r>
      <w:r w:rsidR="00F27621">
        <w:rPr>
          <w:noProof/>
          <w:szCs w:val="22"/>
        </w:rPr>
        <w:t>1</w:t>
      </w:r>
      <w:r w:rsidRPr="0029631B">
        <w:rPr>
          <w:szCs w:val="22"/>
        </w:rPr>
        <w:fldChar w:fldCharType="end"/>
      </w:r>
      <w:bookmarkEnd w:id="0"/>
      <w:r w:rsidRPr="0029631B">
        <w:rPr>
          <w:szCs w:val="22"/>
        </w:rPr>
        <w:t xml:space="preserve"> The latency with conventional TDD T</w:t>
      </w:r>
      <w:r w:rsidRPr="0029631B">
        <w:rPr>
          <w:szCs w:val="22"/>
          <w:vertAlign w:val="subscript"/>
        </w:rPr>
        <w:t>1</w:t>
      </w:r>
      <w:r w:rsidRPr="0029631B">
        <w:rPr>
          <w:szCs w:val="22"/>
        </w:rPr>
        <w:t xml:space="preserve"> and preemptive uplink switching T</w:t>
      </w:r>
      <w:r w:rsidRPr="0029631B">
        <w:rPr>
          <w:szCs w:val="22"/>
          <w:vertAlign w:val="subscript"/>
        </w:rPr>
        <w:t>2</w:t>
      </w:r>
      <w:r w:rsidRPr="0029631B">
        <w:rPr>
          <w:szCs w:val="22"/>
        </w:rPr>
        <w:t>.</w:t>
      </w:r>
      <w:bookmarkEnd w:id="1"/>
    </w:p>
    <w:p w14:paraId="1FE067E8" w14:textId="77777777" w:rsidR="00BF7DC0" w:rsidRPr="0029631B" w:rsidRDefault="00BF7DC0" w:rsidP="00BF7DC0">
      <w:pPr>
        <w:rPr>
          <w:szCs w:val="22"/>
          <w:lang w:val="en-US"/>
        </w:rPr>
      </w:pPr>
      <w:r w:rsidRPr="0029631B">
        <w:rPr>
          <w:szCs w:val="22"/>
          <w:lang w:val="en-US"/>
        </w:rPr>
        <w:t xml:space="preserve">  </w:t>
      </w:r>
    </w:p>
    <w:p w14:paraId="7EFF03B9" w14:textId="0C52B337" w:rsidR="00BF7DC0" w:rsidRPr="0029631B" w:rsidRDefault="00BF7DC0" w:rsidP="00BF7DC0">
      <w:pPr>
        <w:rPr>
          <w:i/>
          <w:szCs w:val="22"/>
          <w:lang w:eastAsia="sv-SE"/>
        </w:rPr>
      </w:pPr>
      <w:r w:rsidRPr="0029631B">
        <w:rPr>
          <w:b/>
          <w:i/>
          <w:szCs w:val="22"/>
          <w:u w:val="single"/>
          <w:lang w:eastAsia="sv-SE"/>
        </w:rPr>
        <w:t xml:space="preserve">Proposal </w:t>
      </w:r>
      <w:r w:rsidR="00EB5BE6" w:rsidRPr="0029631B">
        <w:rPr>
          <w:b/>
          <w:i/>
          <w:szCs w:val="22"/>
          <w:u w:val="single"/>
          <w:lang w:eastAsia="sv-SE"/>
        </w:rPr>
        <w:t>1</w:t>
      </w:r>
      <w:r w:rsidRPr="0029631B">
        <w:rPr>
          <w:b/>
          <w:i/>
          <w:szCs w:val="22"/>
          <w:u w:val="single"/>
          <w:lang w:eastAsia="sv-SE"/>
        </w:rPr>
        <w:t>:</w:t>
      </w:r>
      <w:r w:rsidRPr="0029631B">
        <w:rPr>
          <w:b/>
          <w:szCs w:val="22"/>
          <w:lang w:eastAsia="sv-SE"/>
        </w:rPr>
        <w:t xml:space="preserve"> </w:t>
      </w:r>
      <w:r w:rsidRPr="0029631B">
        <w:rPr>
          <w:i/>
          <w:szCs w:val="22"/>
          <w:lang w:eastAsia="sv-SE"/>
        </w:rPr>
        <w:t>Consider dynamically chan</w:t>
      </w:r>
      <w:r w:rsidR="009A593C" w:rsidRPr="0029631B">
        <w:rPr>
          <w:i/>
          <w:szCs w:val="22"/>
          <w:lang w:eastAsia="sv-SE"/>
        </w:rPr>
        <w:t>g</w:t>
      </w:r>
      <w:r w:rsidRPr="0029631B">
        <w:rPr>
          <w:i/>
          <w:szCs w:val="22"/>
          <w:lang w:eastAsia="sv-SE"/>
        </w:rPr>
        <w:t>ing the duplex</w:t>
      </w:r>
      <w:r w:rsidR="009A593C" w:rsidRPr="0029631B">
        <w:rPr>
          <w:i/>
          <w:szCs w:val="22"/>
          <w:lang w:eastAsia="sv-SE"/>
        </w:rPr>
        <w:t>ing</w:t>
      </w:r>
      <w:r w:rsidRPr="0029631B">
        <w:rPr>
          <w:i/>
          <w:szCs w:val="22"/>
          <w:lang w:eastAsia="sv-SE"/>
        </w:rPr>
        <w:t xml:space="preserve"> direction</w:t>
      </w:r>
      <w:r w:rsidR="0029631B" w:rsidRPr="0029631B">
        <w:rPr>
          <w:i/>
          <w:szCs w:val="22"/>
          <w:lang w:eastAsia="sv-SE"/>
        </w:rPr>
        <w:t xml:space="preserve"> within the slot</w:t>
      </w:r>
      <w:r w:rsidRPr="0029631B">
        <w:rPr>
          <w:i/>
          <w:szCs w:val="22"/>
          <w:lang w:eastAsia="sv-SE"/>
        </w:rPr>
        <w:t xml:space="preserve"> for the TDD operation when URLLC traffic is multiplexed with eMBB traffic. </w:t>
      </w:r>
    </w:p>
    <w:p w14:paraId="3B21D13D" w14:textId="0E770D23" w:rsidR="00BF7DC0" w:rsidRPr="0029631B" w:rsidRDefault="00BF7DC0" w:rsidP="00BF7DC0">
      <w:pPr>
        <w:rPr>
          <w:szCs w:val="22"/>
          <w:lang w:val="en-US"/>
        </w:rPr>
      </w:pPr>
      <w:r w:rsidRPr="0029631B">
        <w:rPr>
          <w:szCs w:val="22"/>
          <w:lang w:val="en-US"/>
        </w:rPr>
        <w:t xml:space="preserve">To optimize the system performance, we need to consider the impact of preemptively switching the duplex direction. If the gNB operates in the half-duplex mode, the preemptive switching </w:t>
      </w:r>
      <w:r w:rsidR="009A593C" w:rsidRPr="0029631B">
        <w:rPr>
          <w:szCs w:val="22"/>
          <w:lang w:val="en-US"/>
        </w:rPr>
        <w:t xml:space="preserve">may </w:t>
      </w:r>
      <w:r w:rsidRPr="0029631B">
        <w:rPr>
          <w:szCs w:val="22"/>
          <w:lang w:val="en-US"/>
        </w:rPr>
        <w:t xml:space="preserve">cause UL transmissions to fail. The gNB may send NACKs for the failed UL eMBB transmissions, and reschedule the UL eMBB transmissions. It is also possible that there are UL URLLC transmissions. In this case the gNB shall compare the QoS classes of the DL URLLC transmissions with those of the UL URLLC transmissions, and perform </w:t>
      </w:r>
      <w:r w:rsidRPr="0029631B">
        <w:rPr>
          <w:szCs w:val="22"/>
        </w:rPr>
        <w:t>the preemptive duplex direction switching (that is, from UL to DL) only if the former have higher priority than the latter.</w:t>
      </w:r>
    </w:p>
    <w:p w14:paraId="1B64D25A" w14:textId="2B77783B" w:rsidR="00BF7DC0" w:rsidRPr="0029631B" w:rsidRDefault="00BF7DC0" w:rsidP="00BF7DC0">
      <w:pPr>
        <w:rPr>
          <w:szCs w:val="22"/>
        </w:rPr>
      </w:pPr>
      <w:r w:rsidRPr="0029631B">
        <w:rPr>
          <w:szCs w:val="22"/>
        </w:rPr>
        <w:t xml:space="preserve">Alternatively, the gNB may reserve some </w:t>
      </w:r>
      <w:r w:rsidR="000B2CD4" w:rsidRPr="0029631B">
        <w:rPr>
          <w:szCs w:val="22"/>
          <w:lang w:val="en-US"/>
        </w:rPr>
        <w:t>radio resource allocation region</w:t>
      </w:r>
      <w:r w:rsidR="000B2CD4" w:rsidRPr="0029631B">
        <w:rPr>
          <w:szCs w:val="22"/>
        </w:rPr>
        <w:t>s (</w:t>
      </w:r>
      <w:r w:rsidRPr="0029631B">
        <w:rPr>
          <w:szCs w:val="22"/>
        </w:rPr>
        <w:t>RRARs</w:t>
      </w:r>
      <w:r w:rsidR="000B2CD4" w:rsidRPr="0029631B">
        <w:rPr>
          <w:szCs w:val="22"/>
        </w:rPr>
        <w:t>)</w:t>
      </w:r>
      <w:r w:rsidRPr="0029631B">
        <w:rPr>
          <w:szCs w:val="22"/>
        </w:rPr>
        <w:t xml:space="preserve"> in a UL time slot to be exclusively used by URLLC UEs. When </w:t>
      </w:r>
      <w:proofErr w:type="spellStart"/>
      <w:r w:rsidR="00062C0A">
        <w:rPr>
          <w:szCs w:val="22"/>
        </w:rPr>
        <w:t>preemptively</w:t>
      </w:r>
      <w:proofErr w:type="spellEnd"/>
      <w:r w:rsidR="00062C0A">
        <w:rPr>
          <w:szCs w:val="22"/>
        </w:rPr>
        <w:t xml:space="preserve"> switching</w:t>
      </w:r>
      <w:r w:rsidRPr="0029631B">
        <w:rPr>
          <w:szCs w:val="22"/>
        </w:rPr>
        <w:t xml:space="preserve"> from UL to DL, </w:t>
      </w:r>
      <w:r w:rsidR="00062C0A" w:rsidRPr="0029631B">
        <w:rPr>
          <w:szCs w:val="22"/>
        </w:rPr>
        <w:t>the gNB</w:t>
      </w:r>
      <w:r w:rsidRPr="0029631B">
        <w:rPr>
          <w:szCs w:val="22"/>
        </w:rPr>
        <w:t xml:space="preserve"> </w:t>
      </w:r>
      <w:r w:rsidR="00062C0A">
        <w:rPr>
          <w:szCs w:val="22"/>
        </w:rPr>
        <w:t>should avoid</w:t>
      </w:r>
      <w:r w:rsidRPr="0029631B">
        <w:rPr>
          <w:szCs w:val="22"/>
        </w:rPr>
        <w:t xml:space="preserve"> these reserved RRARs. This is shown in </w:t>
      </w:r>
      <w:r w:rsidRPr="0029631B">
        <w:rPr>
          <w:szCs w:val="22"/>
        </w:rPr>
        <w:fldChar w:fldCharType="begin"/>
      </w:r>
      <w:r w:rsidRPr="0029631B">
        <w:rPr>
          <w:szCs w:val="22"/>
        </w:rPr>
        <w:instrText xml:space="preserve"> REF _Ref471404109 \h  \* MERGEFORMAT </w:instrText>
      </w:r>
      <w:r w:rsidRPr="0029631B">
        <w:rPr>
          <w:szCs w:val="22"/>
        </w:rPr>
      </w:r>
      <w:r w:rsidRPr="0029631B">
        <w:rPr>
          <w:szCs w:val="22"/>
        </w:rPr>
        <w:fldChar w:fldCharType="separate"/>
      </w:r>
      <w:r w:rsidR="00EB5BE6" w:rsidRPr="0029631B">
        <w:rPr>
          <w:szCs w:val="22"/>
        </w:rPr>
        <w:t xml:space="preserve">Figure </w:t>
      </w:r>
      <w:r w:rsidR="00EB5BE6" w:rsidRPr="0029631B">
        <w:rPr>
          <w:noProof/>
          <w:szCs w:val="22"/>
        </w:rPr>
        <w:t>2</w:t>
      </w:r>
      <w:r w:rsidRPr="0029631B">
        <w:rPr>
          <w:szCs w:val="22"/>
        </w:rPr>
        <w:fldChar w:fldCharType="end"/>
      </w:r>
      <w:r w:rsidRPr="0029631B">
        <w:rPr>
          <w:szCs w:val="22"/>
        </w:rPr>
        <w:t>. It is noted that the delay T</w:t>
      </w:r>
      <w:r w:rsidRPr="0029631B">
        <w:rPr>
          <w:szCs w:val="22"/>
          <w:vertAlign w:val="subscript"/>
        </w:rPr>
        <w:t>2</w:t>
      </w:r>
      <w:r w:rsidRPr="0029631B">
        <w:rPr>
          <w:szCs w:val="22"/>
        </w:rPr>
        <w:t>’ may be larger than T</w:t>
      </w:r>
      <w:r w:rsidRPr="0029631B">
        <w:rPr>
          <w:szCs w:val="22"/>
          <w:vertAlign w:val="subscript"/>
        </w:rPr>
        <w:t>2</w:t>
      </w:r>
      <w:r w:rsidRPr="0029631B">
        <w:rPr>
          <w:szCs w:val="22"/>
        </w:rPr>
        <w:t xml:space="preserve"> in Figure 4 where RRARs are not reserved. </w:t>
      </w:r>
    </w:p>
    <w:p w14:paraId="05E67B39" w14:textId="77777777" w:rsidR="00BF7DC0" w:rsidRPr="00614B60" w:rsidRDefault="00BF7DC0" w:rsidP="00BF7DC0">
      <w:pPr>
        <w:keepNext/>
        <w:jc w:val="center"/>
        <w:rPr>
          <w:sz w:val="20"/>
        </w:rPr>
      </w:pPr>
      <w:r w:rsidRPr="00614B60">
        <w:rPr>
          <w:sz w:val="20"/>
        </w:rPr>
        <w:object w:dxaOrig="6418" w:dyaOrig="2582" w14:anchorId="69890BCA">
          <v:shape id="_x0000_i1026" type="#_x0000_t75" style="width:321.65pt;height:129.15pt" o:ole="">
            <v:imagedata r:id="rId14" o:title=""/>
          </v:shape>
          <o:OLEObject Type="Embed" ProgID="Visio.Drawing.15" ShapeID="_x0000_i1026" DrawAspect="Content" ObjectID="_1551883288" r:id="rId15"/>
        </w:object>
      </w:r>
    </w:p>
    <w:p w14:paraId="7611F9D8" w14:textId="6A7F74C7" w:rsidR="00BF7DC0" w:rsidRPr="00614B60" w:rsidRDefault="00BF7DC0" w:rsidP="00BF7DC0">
      <w:pPr>
        <w:pStyle w:val="Caption"/>
        <w:rPr>
          <w:sz w:val="20"/>
        </w:rPr>
      </w:pPr>
      <w:bookmarkStart w:id="2" w:name="_Ref471404109"/>
      <w:r w:rsidRPr="00614B60">
        <w:rPr>
          <w:sz w:val="20"/>
        </w:rPr>
        <w:t xml:space="preserve">Figure </w:t>
      </w:r>
      <w:r w:rsidRPr="00614B60">
        <w:rPr>
          <w:sz w:val="20"/>
        </w:rPr>
        <w:fldChar w:fldCharType="begin"/>
      </w:r>
      <w:r w:rsidRPr="00614B60">
        <w:rPr>
          <w:sz w:val="20"/>
        </w:rPr>
        <w:instrText xml:space="preserve"> SEQ Figure \* ARABIC </w:instrText>
      </w:r>
      <w:r w:rsidRPr="00614B60">
        <w:rPr>
          <w:sz w:val="20"/>
        </w:rPr>
        <w:fldChar w:fldCharType="separate"/>
      </w:r>
      <w:r w:rsidR="00F27621">
        <w:rPr>
          <w:noProof/>
          <w:sz w:val="20"/>
        </w:rPr>
        <w:t>2</w:t>
      </w:r>
      <w:r w:rsidRPr="00614B60">
        <w:rPr>
          <w:sz w:val="20"/>
        </w:rPr>
        <w:fldChar w:fldCharType="end"/>
      </w:r>
      <w:bookmarkEnd w:id="2"/>
      <w:r w:rsidR="007B2C13">
        <w:rPr>
          <w:sz w:val="20"/>
        </w:rPr>
        <w:t>:</w:t>
      </w:r>
      <w:r w:rsidRPr="00614B60">
        <w:rPr>
          <w:sz w:val="20"/>
        </w:rPr>
        <w:t xml:space="preserve"> The gNB avoids the reserved UL RRARs when pre-emptively switching from UL to DL.</w:t>
      </w:r>
    </w:p>
    <w:p w14:paraId="7390615F" w14:textId="28CF348A" w:rsidR="00BF7DC0" w:rsidRPr="0029631B" w:rsidRDefault="00BF7DC0" w:rsidP="00BF7DC0">
      <w:pPr>
        <w:rPr>
          <w:szCs w:val="22"/>
        </w:rPr>
      </w:pPr>
      <w:r w:rsidRPr="0029631B">
        <w:rPr>
          <w:szCs w:val="22"/>
        </w:rPr>
        <w:t>The UE needs to be ready for DL URLLC transmission from the gNB when the gNB does preemptive TDD duplex direction switching without getting a control signal from the control channel that indicates the upcoming DL URLLC transmission. In the conventional TDD mode, a UE in a</w:t>
      </w:r>
      <w:r w:rsidR="00DF5E2B">
        <w:rPr>
          <w:szCs w:val="22"/>
        </w:rPr>
        <w:t>n</w:t>
      </w:r>
      <w:r w:rsidRPr="0029631B">
        <w:rPr>
          <w:szCs w:val="22"/>
        </w:rPr>
        <w:t xml:space="preserve"> UL time slot does not monitor the DL control region. To support preemptive duplex direction switching, a UE that is not transmitting should be in the DL listening mode</w:t>
      </w:r>
      <w:r w:rsidR="00DF5E2B">
        <w:rPr>
          <w:szCs w:val="22"/>
        </w:rPr>
        <w:t xml:space="preserve"> even in an UL time slot</w:t>
      </w:r>
      <w:r w:rsidRPr="0029631B">
        <w:rPr>
          <w:szCs w:val="22"/>
        </w:rPr>
        <w:t xml:space="preserve">. </w:t>
      </w:r>
      <w:r w:rsidR="009A593C" w:rsidRPr="0029631B">
        <w:rPr>
          <w:szCs w:val="22"/>
        </w:rPr>
        <w:t>The gNB may switch the duplex</w:t>
      </w:r>
      <w:r w:rsidR="000B2CD4" w:rsidRPr="0029631B">
        <w:rPr>
          <w:szCs w:val="22"/>
        </w:rPr>
        <w:t>ing</w:t>
      </w:r>
      <w:r w:rsidR="009A593C" w:rsidRPr="0029631B">
        <w:rPr>
          <w:szCs w:val="22"/>
        </w:rPr>
        <w:t xml:space="preserve"> direction </w:t>
      </w:r>
      <w:r w:rsidR="0070163C">
        <w:rPr>
          <w:szCs w:val="22"/>
        </w:rPr>
        <w:t xml:space="preserve">at the </w:t>
      </w:r>
      <w:r w:rsidR="009A593C" w:rsidRPr="0029631B">
        <w:rPr>
          <w:szCs w:val="22"/>
        </w:rPr>
        <w:t xml:space="preserve">mini-slot boundaries to reduce the complexity of the </w:t>
      </w:r>
      <w:r w:rsidR="0070163C">
        <w:rPr>
          <w:szCs w:val="22"/>
        </w:rPr>
        <w:t>DCI monitoring at the</w:t>
      </w:r>
      <w:r w:rsidR="009A593C" w:rsidRPr="0029631B">
        <w:rPr>
          <w:szCs w:val="22"/>
        </w:rPr>
        <w:t xml:space="preserve"> UE. </w:t>
      </w:r>
    </w:p>
    <w:p w14:paraId="04F467A9" w14:textId="63D92DA0" w:rsidR="00BF7DC0" w:rsidRDefault="00BF7DC0" w:rsidP="00BF7DC0">
      <w:pPr>
        <w:keepNext/>
        <w:rPr>
          <w:i/>
          <w:szCs w:val="22"/>
          <w:lang w:eastAsia="sv-SE"/>
        </w:rPr>
      </w:pPr>
      <w:r w:rsidRPr="0029631B">
        <w:rPr>
          <w:b/>
          <w:i/>
          <w:szCs w:val="22"/>
          <w:u w:val="single"/>
          <w:lang w:eastAsia="sv-SE"/>
        </w:rPr>
        <w:lastRenderedPageBreak/>
        <w:t xml:space="preserve">Proposal </w:t>
      </w:r>
      <w:r w:rsidR="00EB5BE6" w:rsidRPr="0029631B">
        <w:rPr>
          <w:b/>
          <w:i/>
          <w:szCs w:val="22"/>
          <w:u w:val="single"/>
          <w:lang w:eastAsia="sv-SE"/>
        </w:rPr>
        <w:t>2</w:t>
      </w:r>
      <w:r w:rsidRPr="0029631B">
        <w:rPr>
          <w:b/>
          <w:i/>
          <w:szCs w:val="22"/>
          <w:u w:val="single"/>
          <w:lang w:eastAsia="sv-SE"/>
        </w:rPr>
        <w:t>:</w:t>
      </w:r>
      <w:r w:rsidRPr="0029631B">
        <w:rPr>
          <w:b/>
          <w:szCs w:val="22"/>
          <w:lang w:eastAsia="sv-SE"/>
        </w:rPr>
        <w:t xml:space="preserve"> </w:t>
      </w:r>
      <w:r w:rsidR="0029631B">
        <w:rPr>
          <w:i/>
          <w:szCs w:val="22"/>
          <w:lang w:eastAsia="sv-SE"/>
        </w:rPr>
        <w:t>NR studies</w:t>
      </w:r>
      <w:r w:rsidRPr="0029631B">
        <w:rPr>
          <w:i/>
          <w:szCs w:val="22"/>
          <w:lang w:eastAsia="sv-SE"/>
        </w:rPr>
        <w:t xml:space="preserve"> mechanisms for minimizing the impact on UL transmissions resulting from dynamically chan</w:t>
      </w:r>
      <w:r w:rsidR="00EB5BE6" w:rsidRPr="0029631B">
        <w:rPr>
          <w:i/>
          <w:szCs w:val="22"/>
          <w:lang w:eastAsia="sv-SE"/>
        </w:rPr>
        <w:t>g</w:t>
      </w:r>
      <w:r w:rsidRPr="0029631B">
        <w:rPr>
          <w:i/>
          <w:szCs w:val="22"/>
          <w:lang w:eastAsia="sv-SE"/>
        </w:rPr>
        <w:t>ing the duplex direction in the TDD operation mode when DL URLLC traffic is multiplexed with DL eMBB traffic.</w:t>
      </w:r>
    </w:p>
    <w:p w14:paraId="1DB8441F" w14:textId="64FAE538" w:rsidR="00C864C7" w:rsidRDefault="00C864C7" w:rsidP="00BF7DC0">
      <w:pPr>
        <w:keepNext/>
        <w:rPr>
          <w:i/>
          <w:szCs w:val="22"/>
          <w:lang w:eastAsia="sv-SE"/>
        </w:rPr>
      </w:pPr>
    </w:p>
    <w:p w14:paraId="586BC862" w14:textId="4FB35E7B" w:rsidR="00C864C7" w:rsidRPr="00F27621" w:rsidRDefault="00C864C7" w:rsidP="00C864C7">
      <w:pPr>
        <w:spacing w:after="240"/>
        <w:rPr>
          <w:szCs w:val="22"/>
        </w:rPr>
      </w:pPr>
      <w:r w:rsidRPr="00F27621">
        <w:rPr>
          <w:szCs w:val="22"/>
        </w:rPr>
        <w:t xml:space="preserve">Given that NR in higher bands may need to rely on TDD mode of operation for large antenna arrays, we believe </w:t>
      </w:r>
      <w:r w:rsidR="00043D37" w:rsidRPr="00F27621">
        <w:rPr>
          <w:szCs w:val="22"/>
        </w:rPr>
        <w:t xml:space="preserve">that </w:t>
      </w:r>
      <w:r w:rsidRPr="00F27621">
        <w:rPr>
          <w:szCs w:val="22"/>
        </w:rPr>
        <w:t xml:space="preserve">design considerations </w:t>
      </w:r>
      <w:r w:rsidR="00E54AD7" w:rsidRPr="00F27621">
        <w:rPr>
          <w:szCs w:val="22"/>
        </w:rPr>
        <w:t>should include</w:t>
      </w:r>
      <w:r w:rsidRPr="00F27621">
        <w:rPr>
          <w:szCs w:val="22"/>
        </w:rPr>
        <w:t xml:space="preserve"> mini-</w:t>
      </w:r>
      <w:r w:rsidR="002A6C1E" w:rsidRPr="00F27621">
        <w:rPr>
          <w:szCs w:val="22"/>
        </w:rPr>
        <w:t>slot</w:t>
      </w:r>
      <w:r w:rsidR="00E54AD7" w:rsidRPr="00F27621">
        <w:rPr>
          <w:szCs w:val="22"/>
        </w:rPr>
        <w:t>s</w:t>
      </w:r>
      <w:r w:rsidR="00BB45E4" w:rsidRPr="00F27621">
        <w:rPr>
          <w:szCs w:val="22"/>
        </w:rPr>
        <w:t xml:space="preserve"> and that the co-existence of mini-slot</w:t>
      </w:r>
      <w:r w:rsidR="00E54AD7" w:rsidRPr="00F27621">
        <w:rPr>
          <w:szCs w:val="22"/>
        </w:rPr>
        <w:t>s</w:t>
      </w:r>
      <w:r w:rsidR="00BB45E4" w:rsidRPr="00F27621">
        <w:rPr>
          <w:szCs w:val="22"/>
        </w:rPr>
        <w:t xml:space="preserve"> and slot</w:t>
      </w:r>
      <w:r w:rsidR="00E54AD7" w:rsidRPr="00F27621">
        <w:rPr>
          <w:szCs w:val="22"/>
        </w:rPr>
        <w:t>s</w:t>
      </w:r>
      <w:r w:rsidR="00BB45E4" w:rsidRPr="00F27621">
        <w:rPr>
          <w:szCs w:val="22"/>
        </w:rPr>
        <w:t xml:space="preserve"> in NR is inevitable</w:t>
      </w:r>
      <w:r w:rsidR="002A6C1E" w:rsidRPr="00F27621">
        <w:rPr>
          <w:szCs w:val="22"/>
        </w:rPr>
        <w:t xml:space="preserve">. </w:t>
      </w:r>
      <w:r w:rsidR="00E54AD7" w:rsidRPr="00F27621">
        <w:rPr>
          <w:szCs w:val="22"/>
        </w:rPr>
        <w:t>To allow flexibility in scheduling, t</w:t>
      </w:r>
      <w:r w:rsidRPr="00F27621">
        <w:rPr>
          <w:szCs w:val="22"/>
        </w:rPr>
        <w:t xml:space="preserve">he </w:t>
      </w:r>
      <w:r w:rsidR="00BB45E4" w:rsidRPr="00F27621">
        <w:rPr>
          <w:szCs w:val="22"/>
        </w:rPr>
        <w:t>concept of virtual mini slot may</w:t>
      </w:r>
      <w:r w:rsidRPr="00F27621">
        <w:rPr>
          <w:szCs w:val="22"/>
        </w:rPr>
        <w:t xml:space="preserve"> be </w:t>
      </w:r>
      <w:r w:rsidR="00BB45E4" w:rsidRPr="00F27621">
        <w:rPr>
          <w:szCs w:val="22"/>
        </w:rPr>
        <w:t xml:space="preserve">adopted for </w:t>
      </w:r>
      <w:r w:rsidRPr="00F27621">
        <w:rPr>
          <w:szCs w:val="22"/>
        </w:rPr>
        <w:t xml:space="preserve">the TDD mode of operation. </w:t>
      </w:r>
      <w:r w:rsidR="00E54AD7" w:rsidRPr="00F27621">
        <w:rPr>
          <w:szCs w:val="22"/>
        </w:rPr>
        <w:t>They are called virtual mini-slots, in the sense that from the UE perspective, these mini-slots do not exist unless they are activated/configured by the network. Specifically</w:t>
      </w:r>
      <w:r w:rsidRPr="00F27621">
        <w:rPr>
          <w:szCs w:val="22"/>
        </w:rPr>
        <w:t>, any virtual mini-slot can be configured to be DL or UL as shown in</w:t>
      </w:r>
      <w:r w:rsidR="00F27621" w:rsidRPr="00F27621">
        <w:rPr>
          <w:szCs w:val="22"/>
        </w:rPr>
        <w:t xml:space="preserve"> </w:t>
      </w:r>
      <w:r w:rsidR="00F27621" w:rsidRPr="00F27621">
        <w:rPr>
          <w:szCs w:val="22"/>
        </w:rPr>
        <w:fldChar w:fldCharType="begin"/>
      </w:r>
      <w:r w:rsidR="00F27621" w:rsidRPr="00F27621">
        <w:rPr>
          <w:szCs w:val="22"/>
        </w:rPr>
        <w:instrText xml:space="preserve"> REF _Ref478141163 \h </w:instrText>
      </w:r>
      <w:r w:rsidR="00F27621" w:rsidRPr="00F27621">
        <w:rPr>
          <w:szCs w:val="22"/>
        </w:rPr>
      </w:r>
      <w:r w:rsidR="00F27621">
        <w:rPr>
          <w:szCs w:val="22"/>
        </w:rPr>
        <w:instrText xml:space="preserve"> \* MERGEFORMAT </w:instrText>
      </w:r>
      <w:r w:rsidR="00F27621" w:rsidRPr="00F27621">
        <w:rPr>
          <w:szCs w:val="22"/>
        </w:rPr>
        <w:fldChar w:fldCharType="separate"/>
      </w:r>
      <w:r w:rsidR="00F27621" w:rsidRPr="00F27621">
        <w:rPr>
          <w:szCs w:val="22"/>
        </w:rPr>
        <w:t xml:space="preserve">Figure </w:t>
      </w:r>
      <w:r w:rsidR="00F27621" w:rsidRPr="00F27621">
        <w:rPr>
          <w:noProof/>
          <w:szCs w:val="22"/>
        </w:rPr>
        <w:t>3</w:t>
      </w:r>
      <w:r w:rsidR="00F27621" w:rsidRPr="00F27621">
        <w:rPr>
          <w:szCs w:val="22"/>
        </w:rPr>
        <w:fldChar w:fldCharType="end"/>
      </w:r>
      <w:r w:rsidR="00F27621" w:rsidRPr="00F27621">
        <w:rPr>
          <w:szCs w:val="22"/>
        </w:rPr>
        <w:t>.</w:t>
      </w:r>
      <w:r w:rsidRPr="00F27621">
        <w:rPr>
          <w:szCs w:val="22"/>
        </w:rPr>
        <w:t xml:space="preserve"> In this example, a normal slot of length 7 OFDM and virtual mini-slots with length 1 symbol are shown. From the eMBB UE perspective, the normal slot is </w:t>
      </w:r>
      <w:r w:rsidR="00062C0A" w:rsidRPr="00F27621">
        <w:rPr>
          <w:szCs w:val="22"/>
        </w:rPr>
        <w:t>dominantly</w:t>
      </w:r>
      <w:r w:rsidRPr="00F27621">
        <w:rPr>
          <w:szCs w:val="22"/>
        </w:rPr>
        <w:t xml:space="preserve"> DL or UL; however, from the URLLC UE perspective, the mini-slot could switch from UL to DL in the presence of </w:t>
      </w:r>
      <w:r w:rsidR="00062C0A" w:rsidRPr="00F27621">
        <w:rPr>
          <w:szCs w:val="22"/>
        </w:rPr>
        <w:t>dominantly</w:t>
      </w:r>
      <w:r w:rsidRPr="00F27621">
        <w:rPr>
          <w:szCs w:val="22"/>
        </w:rPr>
        <w:t xml:space="preserve"> UL normal slot. This functionality</w:t>
      </w:r>
      <w:r w:rsidR="00E54AD7" w:rsidRPr="00F27621">
        <w:rPr>
          <w:szCs w:val="22"/>
        </w:rPr>
        <w:t xml:space="preserve"> enables the high-priority, low-</w:t>
      </w:r>
      <w:r w:rsidRPr="00F27621">
        <w:rPr>
          <w:szCs w:val="22"/>
        </w:rPr>
        <w:t xml:space="preserve">latency packets to be transmitted to the URLLC UE even if the current normal slot is configured as UL. </w:t>
      </w:r>
    </w:p>
    <w:p w14:paraId="1AB4BA00" w14:textId="77777777" w:rsidR="00F27621" w:rsidRDefault="00C864C7" w:rsidP="00F27621">
      <w:pPr>
        <w:keepNext/>
        <w:spacing w:after="240"/>
        <w:jc w:val="center"/>
      </w:pPr>
      <w:r>
        <w:rPr>
          <w:sz w:val="20"/>
        </w:rPr>
        <w:object w:dxaOrig="10520" w:dyaOrig="3582" w14:anchorId="3FFFEE75">
          <v:shape id="_x0000_i1027" type="#_x0000_t75" style="width:475.05pt;height:162pt" o:ole="">
            <v:imagedata r:id="rId16" o:title=""/>
          </v:shape>
          <o:OLEObject Type="Embed" ProgID="Visio.Drawing.15" ShapeID="_x0000_i1027" DrawAspect="Content" ObjectID="_1551883289" r:id="rId17"/>
        </w:object>
      </w:r>
    </w:p>
    <w:p w14:paraId="39F33530" w14:textId="5DED91C4" w:rsidR="00C864C7" w:rsidRPr="00F27621" w:rsidRDefault="00F27621" w:rsidP="00F27621">
      <w:pPr>
        <w:pStyle w:val="Caption"/>
        <w:rPr>
          <w:szCs w:val="22"/>
        </w:rPr>
      </w:pPr>
      <w:bookmarkStart w:id="3" w:name="_Ref478141163"/>
      <w:r w:rsidRPr="00F27621">
        <w:rPr>
          <w:szCs w:val="22"/>
        </w:rPr>
        <w:t xml:space="preserve">Figure </w:t>
      </w:r>
      <w:r w:rsidRPr="00F27621">
        <w:rPr>
          <w:szCs w:val="22"/>
        </w:rPr>
        <w:fldChar w:fldCharType="begin"/>
      </w:r>
      <w:r w:rsidRPr="00F27621">
        <w:rPr>
          <w:szCs w:val="22"/>
        </w:rPr>
        <w:instrText xml:space="preserve"> SEQ Figure \* ARABIC </w:instrText>
      </w:r>
      <w:r w:rsidRPr="00F27621">
        <w:rPr>
          <w:szCs w:val="22"/>
        </w:rPr>
        <w:fldChar w:fldCharType="separate"/>
      </w:r>
      <w:r w:rsidRPr="00F27621">
        <w:rPr>
          <w:noProof/>
          <w:szCs w:val="22"/>
        </w:rPr>
        <w:t>3</w:t>
      </w:r>
      <w:r w:rsidRPr="00F27621">
        <w:rPr>
          <w:szCs w:val="22"/>
        </w:rPr>
        <w:fldChar w:fldCharType="end"/>
      </w:r>
      <w:bookmarkEnd w:id="3"/>
      <w:r w:rsidRPr="00F27621">
        <w:rPr>
          <w:szCs w:val="22"/>
        </w:rPr>
        <w:t xml:space="preserve">: </w:t>
      </w:r>
      <w:r w:rsidRPr="00F27621">
        <w:rPr>
          <w:szCs w:val="22"/>
        </w:rPr>
        <w:t>Virtual mini-slots for TDD</w:t>
      </w:r>
    </w:p>
    <w:p w14:paraId="03567A22" w14:textId="07CDB6BD" w:rsidR="00C864C7" w:rsidRPr="00F27621" w:rsidRDefault="00C864C7" w:rsidP="00C864C7">
      <w:pPr>
        <w:spacing w:after="0"/>
        <w:rPr>
          <w:szCs w:val="22"/>
        </w:rPr>
      </w:pPr>
      <w:r w:rsidRPr="00F27621">
        <w:rPr>
          <w:b/>
          <w:szCs w:val="22"/>
          <w:u w:val="single"/>
        </w:rPr>
        <w:t>Proposal 3:</w:t>
      </w:r>
      <w:r w:rsidRPr="00F27621">
        <w:rPr>
          <w:szCs w:val="22"/>
        </w:rPr>
        <w:t xml:space="preserve"> </w:t>
      </w:r>
      <w:r w:rsidRPr="00F27621">
        <w:rPr>
          <w:rFonts w:eastAsia="MS Mincho"/>
          <w:i/>
          <w:szCs w:val="22"/>
          <w:lang w:eastAsia="ja-JP"/>
        </w:rPr>
        <w:t>Mini-slot as the minimum scheduling unit in time-domain should be considered for TDD</w:t>
      </w:r>
      <w:r w:rsidR="00F12DC6">
        <w:rPr>
          <w:rFonts w:eastAsia="MS Mincho"/>
          <w:i/>
          <w:szCs w:val="22"/>
          <w:lang w:eastAsia="ja-JP"/>
        </w:rPr>
        <w:t xml:space="preserve"> </w:t>
      </w:r>
      <w:r w:rsidR="00F12DC6" w:rsidRPr="00F12DC6">
        <w:rPr>
          <w:rFonts w:eastAsia="MS Mincho"/>
          <w:i/>
          <w:szCs w:val="22"/>
          <w:lang w:eastAsia="ja-JP"/>
        </w:rPr>
        <w:t>when URLLC traffic is multiplexed with eMBB traffic</w:t>
      </w:r>
      <w:r w:rsidRPr="00F27621">
        <w:rPr>
          <w:rFonts w:eastAsia="MS Mincho"/>
          <w:i/>
          <w:szCs w:val="22"/>
          <w:lang w:eastAsia="ja-JP"/>
        </w:rPr>
        <w:t>.</w:t>
      </w:r>
    </w:p>
    <w:p w14:paraId="08388A03" w14:textId="77777777" w:rsidR="00C864C7" w:rsidRPr="0029631B" w:rsidRDefault="00C864C7" w:rsidP="00BF7DC0">
      <w:pPr>
        <w:keepNext/>
        <w:rPr>
          <w:i/>
          <w:szCs w:val="22"/>
          <w:lang w:eastAsia="sv-SE"/>
        </w:rPr>
      </w:pPr>
    </w:p>
    <w:p w14:paraId="596E93DF" w14:textId="4893F5BD" w:rsidR="00821C42" w:rsidRPr="00614B60" w:rsidRDefault="00BF17FD" w:rsidP="00821C42">
      <w:pPr>
        <w:pStyle w:val="Heading1"/>
        <w:pBdr>
          <w:top w:val="single" w:sz="12" w:space="5" w:color="auto"/>
        </w:pBdr>
        <w:spacing w:after="120"/>
        <w:rPr>
          <w:rFonts w:ascii="Times New Roman" w:hAnsi="Times New Roman"/>
          <w:b/>
          <w:sz w:val="32"/>
          <w:lang w:val="en-US"/>
        </w:rPr>
      </w:pPr>
      <w:r w:rsidRPr="00614B60">
        <w:rPr>
          <w:rFonts w:ascii="Times New Roman" w:hAnsi="Times New Roman"/>
          <w:b/>
          <w:sz w:val="32"/>
          <w:lang w:val="en-US"/>
        </w:rPr>
        <w:t>Summary</w:t>
      </w:r>
    </w:p>
    <w:p w14:paraId="0E6E59C8" w14:textId="32AC7026" w:rsidR="00685F6F" w:rsidRPr="00614B60" w:rsidRDefault="003242DD" w:rsidP="003242DD">
      <w:pPr>
        <w:rPr>
          <w:szCs w:val="22"/>
        </w:rPr>
      </w:pPr>
      <w:r w:rsidRPr="00614B60">
        <w:rPr>
          <w:szCs w:val="22"/>
        </w:rPr>
        <w:t>This contribution discussed</w:t>
      </w:r>
      <w:r w:rsidR="00220819" w:rsidRPr="00614B60">
        <w:rPr>
          <w:szCs w:val="22"/>
        </w:rPr>
        <w:t xml:space="preserve"> </w:t>
      </w:r>
      <w:r w:rsidR="00EB5BE6" w:rsidRPr="00EB5BE6">
        <w:rPr>
          <w:szCs w:val="22"/>
        </w:rPr>
        <w:t>dynamic resource sharing between URLLC and eMBB data in the DL and UL when the transmissions from URLLC overlap with resources of an ongoing/schedu</w:t>
      </w:r>
      <w:r w:rsidR="00EB5BE6">
        <w:rPr>
          <w:szCs w:val="22"/>
        </w:rPr>
        <w:t xml:space="preserve">led longer transmission for </w:t>
      </w:r>
      <w:r w:rsidR="00EB5BE6" w:rsidRPr="00EB5BE6">
        <w:rPr>
          <w:szCs w:val="22"/>
        </w:rPr>
        <w:t>TDD.</w:t>
      </w:r>
      <w:r w:rsidR="00EB5BE6">
        <w:rPr>
          <w:szCs w:val="22"/>
        </w:rPr>
        <w:t xml:space="preserve"> We propose the following:</w:t>
      </w:r>
    </w:p>
    <w:p w14:paraId="53F10BEA" w14:textId="05BF8259" w:rsidR="0029631B" w:rsidRPr="0029631B" w:rsidRDefault="00C864C7" w:rsidP="0029631B">
      <w:pPr>
        <w:rPr>
          <w:i/>
          <w:szCs w:val="22"/>
          <w:lang w:eastAsia="sv-SE"/>
        </w:rPr>
      </w:pPr>
      <w:r>
        <w:rPr>
          <w:b/>
          <w:i/>
          <w:szCs w:val="22"/>
          <w:u w:val="single"/>
          <w:lang w:eastAsia="sv-SE"/>
        </w:rPr>
        <w:t xml:space="preserve">Proposal </w:t>
      </w:r>
      <w:r w:rsidR="0029631B" w:rsidRPr="0029631B">
        <w:rPr>
          <w:b/>
          <w:i/>
          <w:szCs w:val="22"/>
          <w:u w:val="single"/>
          <w:lang w:eastAsia="sv-SE"/>
        </w:rPr>
        <w:t>1:</w:t>
      </w:r>
      <w:r w:rsidR="0029631B" w:rsidRPr="0029631B">
        <w:rPr>
          <w:b/>
          <w:szCs w:val="22"/>
          <w:lang w:eastAsia="sv-SE"/>
        </w:rPr>
        <w:t xml:space="preserve"> </w:t>
      </w:r>
      <w:r w:rsidR="0029631B" w:rsidRPr="0029631B">
        <w:rPr>
          <w:i/>
          <w:szCs w:val="22"/>
          <w:lang w:eastAsia="sv-SE"/>
        </w:rPr>
        <w:t xml:space="preserve">NR supports dynamically changing the duplexing direction within the slot for the TDD operation when URLLC traffic is multiplexed with eMBB traffic. </w:t>
      </w:r>
    </w:p>
    <w:p w14:paraId="592759A8" w14:textId="77777777" w:rsidR="0029631B" w:rsidRPr="0029631B" w:rsidRDefault="0029631B" w:rsidP="0029631B">
      <w:pPr>
        <w:keepNext/>
        <w:rPr>
          <w:i/>
          <w:szCs w:val="22"/>
          <w:lang w:eastAsia="sv-SE"/>
        </w:rPr>
      </w:pPr>
      <w:r w:rsidRPr="0029631B">
        <w:rPr>
          <w:b/>
          <w:i/>
          <w:szCs w:val="22"/>
          <w:u w:val="single"/>
          <w:lang w:eastAsia="sv-SE"/>
        </w:rPr>
        <w:t>Proposal 2:</w:t>
      </w:r>
      <w:r w:rsidRPr="0029631B">
        <w:rPr>
          <w:b/>
          <w:szCs w:val="22"/>
          <w:lang w:eastAsia="sv-SE"/>
        </w:rPr>
        <w:t xml:space="preserve"> </w:t>
      </w:r>
      <w:r>
        <w:rPr>
          <w:i/>
          <w:szCs w:val="22"/>
          <w:lang w:eastAsia="sv-SE"/>
        </w:rPr>
        <w:t>NR studies</w:t>
      </w:r>
      <w:r w:rsidRPr="0029631B">
        <w:rPr>
          <w:i/>
          <w:szCs w:val="22"/>
          <w:lang w:eastAsia="sv-SE"/>
        </w:rPr>
        <w:t xml:space="preserve"> mechanisms for minimizing the impact on UL transmissions resulting from dynamically changing the duplex direction in the TDD operation mode when DL URLLC traffic is multiplexed with DL eMBB traffic.</w:t>
      </w:r>
    </w:p>
    <w:p w14:paraId="3F66BC3D" w14:textId="10EBBD7F" w:rsidR="00C864C7" w:rsidRPr="00F27621" w:rsidRDefault="00C864C7" w:rsidP="00C864C7">
      <w:pPr>
        <w:spacing w:after="0"/>
        <w:rPr>
          <w:szCs w:val="22"/>
        </w:rPr>
      </w:pPr>
      <w:r w:rsidRPr="00F27621">
        <w:rPr>
          <w:b/>
          <w:i/>
          <w:szCs w:val="22"/>
          <w:u w:val="single"/>
        </w:rPr>
        <w:t>Proposal 3:</w:t>
      </w:r>
      <w:r w:rsidRPr="00F27621">
        <w:rPr>
          <w:szCs w:val="22"/>
        </w:rPr>
        <w:t xml:space="preserve"> </w:t>
      </w:r>
      <w:r w:rsidRPr="00F27621">
        <w:rPr>
          <w:rFonts w:eastAsia="MS Mincho"/>
          <w:i/>
          <w:szCs w:val="22"/>
          <w:lang w:eastAsia="ja-JP"/>
        </w:rPr>
        <w:t>Mini-slot as the minimum scheduling unit in time-domain should be considered for TDD</w:t>
      </w:r>
      <w:r w:rsidR="00F12DC6">
        <w:rPr>
          <w:rFonts w:eastAsia="MS Mincho"/>
          <w:i/>
          <w:szCs w:val="22"/>
          <w:lang w:eastAsia="ja-JP"/>
        </w:rPr>
        <w:t xml:space="preserve"> </w:t>
      </w:r>
      <w:r w:rsidR="00F12DC6" w:rsidRPr="0029631B">
        <w:rPr>
          <w:i/>
          <w:szCs w:val="22"/>
          <w:lang w:eastAsia="sv-SE"/>
        </w:rPr>
        <w:t>when URLLC traffic is multiplexed with eMBB traffic</w:t>
      </w:r>
      <w:r w:rsidRPr="00F27621">
        <w:rPr>
          <w:rFonts w:eastAsia="MS Mincho"/>
          <w:i/>
          <w:szCs w:val="22"/>
          <w:lang w:eastAsia="ja-JP"/>
        </w:rPr>
        <w:t>.</w:t>
      </w:r>
    </w:p>
    <w:p w14:paraId="7A7E4D34" w14:textId="31CFB118" w:rsidR="00746CE2" w:rsidRPr="00614B60" w:rsidRDefault="00746CE2" w:rsidP="003242DD">
      <w:pPr>
        <w:rPr>
          <w:b/>
          <w:sz w:val="20"/>
        </w:rPr>
      </w:pPr>
      <w:bookmarkStart w:id="4" w:name="_GoBack"/>
      <w:bookmarkEnd w:id="4"/>
    </w:p>
    <w:p w14:paraId="0EF7466D" w14:textId="77777777" w:rsidR="00251B4A" w:rsidRPr="00614B60" w:rsidRDefault="00251B4A" w:rsidP="00251B4A">
      <w:pPr>
        <w:pStyle w:val="Heading1"/>
        <w:rPr>
          <w:rFonts w:ascii="Times New Roman" w:hAnsi="Times New Roman"/>
          <w:b/>
          <w:sz w:val="32"/>
          <w:lang w:val="en-US"/>
        </w:rPr>
      </w:pPr>
      <w:r w:rsidRPr="00614B60">
        <w:rPr>
          <w:rFonts w:ascii="Times New Roman" w:hAnsi="Times New Roman"/>
          <w:b/>
          <w:sz w:val="32"/>
          <w:lang w:val="en-US"/>
        </w:rPr>
        <w:t>References</w:t>
      </w:r>
    </w:p>
    <w:p w14:paraId="1CA3A936" w14:textId="65D113F4" w:rsidR="00E246F8" w:rsidRPr="00B11496" w:rsidRDefault="00B11496" w:rsidP="00B11496">
      <w:pPr>
        <w:pStyle w:val="Reference"/>
        <w:rPr>
          <w:szCs w:val="22"/>
        </w:rPr>
      </w:pPr>
      <w:bookmarkStart w:id="5" w:name="_Ref455734493"/>
      <w:bookmarkStart w:id="6" w:name="_Ref434502751"/>
      <w:bookmarkStart w:id="7" w:name="_Ref419296613"/>
      <w:bookmarkStart w:id="8" w:name="_Ref434227915"/>
      <w:bookmarkStart w:id="9" w:name="_Ref434501473"/>
      <w:r>
        <w:rPr>
          <w:szCs w:val="22"/>
        </w:rPr>
        <w:t>RAN1#88 C</w:t>
      </w:r>
      <w:r w:rsidRPr="005266DD">
        <w:rPr>
          <w:szCs w:val="22"/>
        </w:rPr>
        <w:t xml:space="preserve">hairman’s </w:t>
      </w:r>
      <w:r>
        <w:rPr>
          <w:szCs w:val="22"/>
        </w:rPr>
        <w:t>N</w:t>
      </w:r>
      <w:r w:rsidRPr="005266DD">
        <w:rPr>
          <w:szCs w:val="22"/>
        </w:rPr>
        <w:t>ote</w:t>
      </w:r>
      <w:r>
        <w:rPr>
          <w:szCs w:val="22"/>
        </w:rPr>
        <w:t>s, Athens, Greece, Feb., 2017.</w:t>
      </w:r>
      <w:bookmarkEnd w:id="5"/>
      <w:bookmarkEnd w:id="6"/>
      <w:bookmarkEnd w:id="7"/>
      <w:bookmarkEnd w:id="8"/>
      <w:bookmarkEnd w:id="9"/>
    </w:p>
    <w:sectPr w:rsidR="00E246F8" w:rsidRPr="00B11496"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7C695" w14:textId="77777777" w:rsidR="005B01B2" w:rsidRDefault="005B01B2">
      <w:r>
        <w:separator/>
      </w:r>
    </w:p>
  </w:endnote>
  <w:endnote w:type="continuationSeparator" w:id="0">
    <w:p w14:paraId="299B7BE9" w14:textId="77777777" w:rsidR="005B01B2" w:rsidRDefault="005B01B2">
      <w:r>
        <w:continuationSeparator/>
      </w:r>
    </w:p>
  </w:endnote>
  <w:endnote w:type="continuationNotice" w:id="1">
    <w:p w14:paraId="4B5A7A64" w14:textId="77777777" w:rsidR="005B01B2" w:rsidRDefault="005B0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8991DA5"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2DC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2DC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BE3CF" w14:textId="77777777" w:rsidR="005B01B2" w:rsidRDefault="005B01B2">
      <w:r>
        <w:separator/>
      </w:r>
    </w:p>
  </w:footnote>
  <w:footnote w:type="continuationSeparator" w:id="0">
    <w:p w14:paraId="1AB39299" w14:textId="77777777" w:rsidR="005B01B2" w:rsidRDefault="005B01B2">
      <w:r>
        <w:continuationSeparator/>
      </w:r>
    </w:p>
  </w:footnote>
  <w:footnote w:type="continuationNotice" w:id="1">
    <w:p w14:paraId="3874B2B5" w14:textId="77777777" w:rsidR="005B01B2" w:rsidRDefault="005B0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1"/>
  </w:num>
  <w:num w:numId="8">
    <w:abstractNumId w:val="5"/>
  </w:num>
  <w:num w:numId="9">
    <w:abstractNumId w:val="15"/>
  </w:num>
  <w:num w:numId="10">
    <w:abstractNumId w:val="3"/>
  </w:num>
  <w:num w:numId="11">
    <w:abstractNumId w:val="1"/>
  </w:num>
  <w:num w:numId="12">
    <w:abstractNumId w:val="9"/>
  </w:num>
  <w:num w:numId="13">
    <w:abstractNumId w:val="12"/>
  </w:num>
  <w:num w:numId="14">
    <w:abstractNumId w:val="2"/>
  </w:num>
  <w:num w:numId="15">
    <w:abstractNumId w:val="0"/>
  </w:num>
  <w:num w:numId="16">
    <w:abstractNumId w:val="13"/>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37AD"/>
    <w:rsid w:val="0003410A"/>
    <w:rsid w:val="00034C15"/>
    <w:rsid w:val="00035EA8"/>
    <w:rsid w:val="00035F74"/>
    <w:rsid w:val="00036BA1"/>
    <w:rsid w:val="000405A0"/>
    <w:rsid w:val="00040B78"/>
    <w:rsid w:val="0004149C"/>
    <w:rsid w:val="000422E2"/>
    <w:rsid w:val="00042BE0"/>
    <w:rsid w:val="00042F22"/>
    <w:rsid w:val="000437FA"/>
    <w:rsid w:val="00043D37"/>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C0A"/>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2CD4"/>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579"/>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3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31B"/>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1E"/>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5C49"/>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16C"/>
    <w:rsid w:val="005A47CD"/>
    <w:rsid w:val="005A4A47"/>
    <w:rsid w:val="005A5838"/>
    <w:rsid w:val="005A6049"/>
    <w:rsid w:val="005A6075"/>
    <w:rsid w:val="005A662D"/>
    <w:rsid w:val="005A6991"/>
    <w:rsid w:val="005A752F"/>
    <w:rsid w:val="005B0105"/>
    <w:rsid w:val="005B01B2"/>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B60"/>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BAE"/>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63C"/>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4CD6"/>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2C13"/>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04D"/>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93C"/>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496"/>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2BC8"/>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9BF"/>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5E4"/>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A97"/>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DC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3C2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4C7"/>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436"/>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E2B"/>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AD7"/>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11A"/>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BE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2DC6"/>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21"/>
    <w:rsid w:val="00F276AD"/>
    <w:rsid w:val="00F27994"/>
    <w:rsid w:val="00F27D1D"/>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uiPriority w:val="35"/>
    <w:rsid w:val="00BF7DC0"/>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49474891-B567-4426-8203-277FD52B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142</TotalTime>
  <Pages>3</Pages>
  <Words>1094</Words>
  <Characters>5946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45</cp:revision>
  <cp:lastPrinted>2014-08-07T20:35:00Z</cp:lastPrinted>
  <dcterms:created xsi:type="dcterms:W3CDTF">2016-07-08T16:57:00Z</dcterms:created>
  <dcterms:modified xsi:type="dcterms:W3CDTF">2017-03-25T00:52:00Z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